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50" w:rightChars="-24"/>
        <w:jc w:val="center"/>
        <w:rPr>
          <w:rFonts w:ascii="小标宋" w:eastAsia="小标宋" w:hAnsiTheme="majorEastAsia"/>
          <w:b/>
          <w:color w:val="auto"/>
          <w:sz w:val="44"/>
          <w:szCs w:val="44"/>
        </w:rPr>
      </w:pPr>
      <w:r>
        <w:rPr>
          <w:rFonts w:hint="eastAsia" w:ascii="小标宋" w:eastAsia="小标宋" w:hAnsiTheme="majorEastAsia"/>
          <w:b/>
          <w:color w:val="auto"/>
          <w:sz w:val="44"/>
          <w:szCs w:val="44"/>
        </w:rPr>
        <w:t>江西萍钢实业股份有限公司</w:t>
      </w:r>
      <w:r>
        <w:rPr>
          <w:rFonts w:hint="eastAsia" w:ascii="小标宋" w:eastAsia="小标宋" w:hAnsiTheme="majorEastAsia"/>
          <w:b/>
          <w:color w:val="auto"/>
          <w:sz w:val="44"/>
          <w:szCs w:val="44"/>
          <w:lang w:val="en-US" w:eastAsia="zh-CN"/>
        </w:rPr>
        <w:t>视频监控大屏</w:t>
      </w:r>
      <w:r>
        <w:rPr>
          <w:rFonts w:hint="eastAsia" w:ascii="小标宋" w:eastAsia="小标宋" w:hAnsiTheme="majorEastAsia"/>
          <w:b/>
          <w:color w:val="auto"/>
          <w:sz w:val="44"/>
          <w:szCs w:val="44"/>
        </w:rPr>
        <w:t>项目招标公告</w:t>
      </w:r>
    </w:p>
    <w:p>
      <w:pPr>
        <w:ind w:right="360"/>
        <w:jc w:val="center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招标编号：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PG/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ZB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/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YY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/202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</w:rPr>
        <w:t>-SG00</w:t>
      </w:r>
      <w:r>
        <w:rPr>
          <w:rFonts w:hint="eastAsia" w:ascii="仿宋" w:hAnsi="仿宋" w:eastAsia="仿宋" w:cs="宋体"/>
          <w:b/>
          <w:color w:val="auto"/>
          <w:kern w:val="0"/>
          <w:sz w:val="32"/>
          <w:szCs w:val="32"/>
          <w:lang w:val="en-US" w:eastAsia="zh-CN"/>
        </w:rPr>
        <w:t>1</w:t>
      </w:r>
    </w:p>
    <w:p>
      <w:pPr>
        <w:spacing w:line="520" w:lineRule="exact"/>
        <w:rPr>
          <w:rFonts w:ascii="仿宋" w:hAnsi="仿宋" w:eastAsia="仿宋"/>
          <w:color w:val="auto"/>
          <w:sz w:val="32"/>
          <w:szCs w:val="32"/>
        </w:rPr>
      </w:pPr>
    </w:p>
    <w:p>
      <w:pPr>
        <w:adjustRightInd w:val="0"/>
        <w:snapToGrid w:val="0"/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江西萍钢实业股份有限公司拟对以下项目进行公开招标，欢迎符合招标条件的单位踊跃参与投标。</w:t>
      </w:r>
    </w:p>
    <w:p>
      <w:pPr>
        <w:adjustRightInd w:val="0"/>
        <w:snapToGrid w:val="0"/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一、招标项目内容、技术要求、招标数量、计划招标时间。</w:t>
      </w:r>
    </w:p>
    <w:p>
      <w:pPr>
        <w:adjustRightInd w:val="0"/>
        <w:snapToGrid w:val="0"/>
        <w:spacing w:line="480" w:lineRule="exact"/>
        <w:rPr>
          <w:rFonts w:hint="default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（一）招标项目名称：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视频监控大屏。</w:t>
      </w:r>
    </w:p>
    <w:p>
      <w:pPr>
        <w:adjustRightInd w:val="0"/>
        <w:snapToGrid w:val="0"/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（二）技术要求：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按需方技术要求执行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（三）招标数量：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1套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（四）计划招标时间：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2022年5月下旬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（五）报名截止时间：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2022年4月29日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  <w:bookmarkStart w:id="0" w:name="_GoBack"/>
      <w:bookmarkEnd w:id="0"/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（六）其他：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二、资质要求。</w:t>
      </w:r>
    </w:p>
    <w:p>
      <w:pPr>
        <w:adjustRightInd w:val="0"/>
        <w:snapToGrid w:val="0"/>
        <w:spacing w:line="480" w:lineRule="exact"/>
        <w:ind w:firstLine="630"/>
        <w:rPr>
          <w:rFonts w:asci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</w:t>
      </w:r>
      <w:r>
        <w:rPr>
          <w:rFonts w:hint="eastAsia" w:ascii="仿宋" w:eastAsia="仿宋"/>
          <w:color w:val="auto"/>
          <w:sz w:val="32"/>
          <w:szCs w:val="32"/>
          <w:lang w:val="en-US" w:eastAsia="zh-CN"/>
        </w:rPr>
        <w:t>具有独立法人资格的生产厂家或授权经销商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专业或特殊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资质要求：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（三）其他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三、意向投标人提交的资格证明文件。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（一）资质材料：</w:t>
      </w:r>
    </w:p>
    <w:p>
      <w:pPr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1.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t>最新年检有效的企业法人营业执照副本复印件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，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t>有特殊行业要求的，也需提供特殊行业运营资质。</w:t>
      </w:r>
    </w:p>
    <w:p>
      <w:pPr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2.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法定代表人资格证明（需载明身份证号码）、代理人身份证复印件及法人授权委托书原件。</w:t>
      </w:r>
    </w:p>
    <w:p>
      <w:pPr>
        <w:spacing w:line="480" w:lineRule="exact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t>.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开户许可证复印件或投标单位开票信息。</w:t>
      </w:r>
    </w:p>
    <w:p>
      <w:pPr>
        <w:spacing w:line="480" w:lineRule="exact"/>
        <w:ind w:firstLine="640" w:firstLineChars="200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ascii="仿宋" w:hAnsi="仿宋" w:eastAsia="仿宋" w:cs="宋体"/>
          <w:color w:val="auto"/>
          <w:kern w:val="0"/>
          <w:sz w:val="32"/>
          <w:szCs w:val="32"/>
        </w:rPr>
        <w:t>.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授权经销商报名需提供厂家授权委托证明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5.提供近三年的相关业绩一份。</w:t>
      </w:r>
    </w:p>
    <w:p>
      <w:pPr>
        <w:spacing w:line="480" w:lineRule="exact"/>
        <w:ind w:firstLine="640" w:firstLineChars="200"/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/>
          <w:color w:val="auto"/>
          <w:sz w:val="32"/>
          <w:szCs w:val="32"/>
        </w:rPr>
        <w:t>企业介绍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480" w:lineRule="exact"/>
        <w:ind w:firstLine="640" w:firstLineChars="200"/>
        <w:rPr>
          <w:rFonts w:ascii="仿宋" w:hAnsi="仿宋" w:eastAsia="仿宋" w:cs="宋体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上述资料需加盖报名单位公章。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（二）提交时间：报名时提交。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（三）提交方式：书面提交或电子提交。</w:t>
      </w:r>
    </w:p>
    <w:p>
      <w:pPr>
        <w:adjustRightInd w:val="0"/>
        <w:snapToGrid w:val="0"/>
        <w:spacing w:line="480" w:lineRule="exact"/>
        <w:ind w:firstLine="63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（四）根据公司相关要求，同时也为每个投标单位提供公平、公正的招投标环境，参加本次投标的单位须填写承诺书（附后），会同报名资料一起提交招标单位。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四、投标方式。</w:t>
      </w:r>
    </w:p>
    <w:p>
      <w:pPr>
        <w:adjustRightInd w:val="0"/>
        <w:snapToGrid w:val="0"/>
        <w:spacing w:line="480" w:lineRule="exact"/>
        <w:ind w:firstLine="66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招标单位对意向投标单位提交的资质材料进行审查，向审查合格单位发出招标邀请函（说明书），接到招标邀请函（说明书）的单位请按邀请函（说明书）要求时间交纳相应投标保证金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20000</w:t>
      </w:r>
      <w:r>
        <w:rPr>
          <w:rFonts w:hint="eastAsia" w:ascii="仿宋" w:hAnsi="仿宋" w:eastAsia="仿宋"/>
          <w:color w:val="auto"/>
          <w:sz w:val="32"/>
          <w:szCs w:val="32"/>
        </w:rPr>
        <w:t>元。招标结束后，中标单位的投标保证金自动转为履约保证金，不足部分应予以补齐（补齐至合同金额的5%），未中标单位的投标保证金在宣标后十五个工作日内一次性返还（无息）。</w:t>
      </w:r>
    </w:p>
    <w:p>
      <w:pPr>
        <w:adjustRightInd w:val="0"/>
        <w:snapToGrid w:val="0"/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五、招标方信息。</w:t>
      </w:r>
    </w:p>
    <w:p>
      <w:pPr>
        <w:adjustRightInd w:val="0"/>
        <w:snapToGrid w:val="0"/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（一）单位名称：江西萍钢实业股份有限公司。</w:t>
      </w:r>
    </w:p>
    <w:p>
      <w:pPr>
        <w:adjustRightInd w:val="0"/>
        <w:snapToGrid w:val="0"/>
        <w:spacing w:line="48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（二）联系地址：江西省南昌市青山湖区冶金大道475号；邮编：330012。</w:t>
      </w:r>
    </w:p>
    <w:p>
      <w:pPr>
        <w:adjustRightInd w:val="0"/>
        <w:snapToGrid w:val="0"/>
        <w:spacing w:line="48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（三）联系人：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何运综</w:t>
      </w:r>
      <w:r>
        <w:rPr>
          <w:rFonts w:hint="eastAsia" w:ascii="仿宋" w:hAnsi="仿宋" w:eastAsia="仿宋"/>
          <w:color w:val="auto"/>
          <w:sz w:val="32"/>
          <w:szCs w:val="32"/>
        </w:rPr>
        <w:t>1800708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1861</w:t>
      </w:r>
      <w:r>
        <w:rPr>
          <w:rFonts w:hint="eastAsia" w:ascii="仿宋" w:hAnsi="仿宋" w:eastAsia="仿宋"/>
          <w:color w:val="auto"/>
          <w:sz w:val="32"/>
          <w:szCs w:val="32"/>
        </w:rPr>
        <w:t>；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刘维</w:t>
      </w:r>
      <w:r>
        <w:rPr>
          <w:rFonts w:hint="eastAsia" w:ascii="仿宋" w:hAnsi="仿宋" w:eastAsia="仿宋"/>
          <w:color w:val="auto"/>
          <w:sz w:val="32"/>
          <w:szCs w:val="32"/>
        </w:rPr>
        <w:t>1800708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7555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firstLine="645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（四）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报名资料提交</w:t>
      </w:r>
      <w:r>
        <w:rPr>
          <w:rFonts w:hint="eastAsia" w:ascii="仿宋" w:hAnsi="仿宋" w:eastAsia="仿宋"/>
          <w:color w:val="auto"/>
          <w:sz w:val="32"/>
          <w:szCs w:val="32"/>
        </w:rPr>
        <w:t>邮箱号：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heyunzong</w:t>
      </w:r>
      <w:r>
        <w:rPr>
          <w:rFonts w:hint="eastAsia" w:ascii="仿宋" w:hAnsi="仿宋" w:eastAsia="仿宋"/>
          <w:color w:val="auto"/>
          <w:sz w:val="32"/>
          <w:szCs w:val="32"/>
        </w:rPr>
        <w:t>@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126</w:t>
      </w:r>
      <w:r>
        <w:rPr>
          <w:rFonts w:ascii="仿宋" w:hAnsi="仿宋" w:eastAsia="仿宋"/>
          <w:color w:val="auto"/>
          <w:sz w:val="32"/>
          <w:szCs w:val="32"/>
        </w:rPr>
        <w:t>.com</w:t>
      </w:r>
      <w:r>
        <w:rPr>
          <w:rFonts w:hint="eastAsia" w:ascii="仿宋" w:hAnsi="仿宋" w:eastAsia="仿宋"/>
          <w:color w:val="auto"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（五）法务监审部监督电话：18879130009。</w:t>
      </w:r>
    </w:p>
    <w:p>
      <w:pPr>
        <w:tabs>
          <w:tab w:val="left" w:pos="7088"/>
        </w:tabs>
        <w:adjustRightInd w:val="0"/>
        <w:snapToGrid w:val="0"/>
        <w:spacing w:line="480" w:lineRule="exact"/>
        <w:ind w:right="1222" w:rightChars="582" w:firstLine="4176" w:firstLineChars="1300"/>
        <w:rPr>
          <w:rFonts w:ascii="仿宋" w:hAnsi="仿宋" w:eastAsia="仿宋"/>
          <w:b/>
          <w:color w:val="auto"/>
          <w:sz w:val="32"/>
          <w:szCs w:val="32"/>
        </w:rPr>
      </w:pPr>
    </w:p>
    <w:p>
      <w:pPr>
        <w:tabs>
          <w:tab w:val="left" w:pos="7088"/>
        </w:tabs>
        <w:adjustRightInd w:val="0"/>
        <w:snapToGrid w:val="0"/>
        <w:spacing w:line="480" w:lineRule="exact"/>
        <w:ind w:right="1222" w:rightChars="582" w:firstLine="4176" w:firstLineChars="1300"/>
        <w:rPr>
          <w:rFonts w:ascii="仿宋" w:hAnsi="仿宋" w:eastAsia="仿宋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江西萍钢实业股份有限公司</w:t>
      </w:r>
    </w:p>
    <w:p>
      <w:pPr>
        <w:tabs>
          <w:tab w:val="left" w:pos="8364"/>
        </w:tabs>
        <w:adjustRightInd w:val="0"/>
        <w:snapToGrid w:val="0"/>
        <w:spacing w:line="480" w:lineRule="exact"/>
        <w:ind w:right="1218" w:rightChars="58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              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>公告时间：2022年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auto"/>
          <w:sz w:val="32"/>
          <w:szCs w:val="32"/>
        </w:rPr>
        <w:t>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color w:val="auto"/>
          <w:sz w:val="32"/>
          <w:szCs w:val="32"/>
        </w:rPr>
        <w:t>日</w:t>
      </w:r>
    </w:p>
    <w:p>
      <w:pPr>
        <w:jc w:val="center"/>
        <w:rPr>
          <w:rFonts w:ascii="小标宋" w:hAnsi="仿宋" w:eastAsia="小标宋" w:cs="宋体"/>
          <w:b/>
          <w:color w:val="auto"/>
          <w:sz w:val="44"/>
          <w:szCs w:val="44"/>
        </w:rPr>
      </w:pPr>
    </w:p>
    <w:p>
      <w:pPr>
        <w:jc w:val="both"/>
        <w:rPr>
          <w:rFonts w:hint="eastAsia" w:ascii="小标宋" w:hAnsi="仿宋" w:eastAsia="小标宋" w:cs="宋体"/>
          <w:b/>
          <w:color w:val="auto"/>
          <w:sz w:val="44"/>
          <w:szCs w:val="44"/>
        </w:rPr>
      </w:pPr>
    </w:p>
    <w:p>
      <w:pPr>
        <w:jc w:val="center"/>
        <w:rPr>
          <w:rFonts w:hint="eastAsia" w:ascii="小标宋" w:hAnsi="仿宋" w:eastAsia="小标宋" w:cs="宋体"/>
          <w:b/>
          <w:color w:val="auto"/>
          <w:sz w:val="44"/>
          <w:szCs w:val="44"/>
        </w:rPr>
      </w:pPr>
    </w:p>
    <w:p>
      <w:pPr>
        <w:jc w:val="center"/>
        <w:rPr>
          <w:rFonts w:ascii="小标宋" w:hAnsi="仿宋" w:eastAsia="小标宋" w:cs="宋体"/>
          <w:b/>
          <w:color w:val="auto"/>
          <w:sz w:val="44"/>
          <w:szCs w:val="44"/>
        </w:rPr>
      </w:pPr>
      <w:r>
        <w:rPr>
          <w:rFonts w:hint="eastAsia" w:ascii="小标宋" w:hAnsi="仿宋" w:eastAsia="小标宋" w:cs="宋体"/>
          <w:b/>
          <w:color w:val="auto"/>
          <w:sz w:val="44"/>
          <w:szCs w:val="44"/>
        </w:rPr>
        <w:t>承  诺  书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江西萍钢实业股份有限公司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：</w:t>
      </w:r>
    </w:p>
    <w:p>
      <w:pPr>
        <w:jc w:val="left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 xml:space="preserve">    我司自愿参与贵司</w:t>
      </w: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  <w:u w:val="single"/>
          <w:lang w:val="en-US" w:eastAsia="zh-CN"/>
        </w:rPr>
        <w:t>视频监控大屏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项目的投（议）标，现承诺如下：</w:t>
      </w:r>
    </w:p>
    <w:p>
      <w:pPr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一、我司将严格遵守招标现场纪律，保证在招标现场外不探讨、不议论招标项目的有关问题和不发表对招标单位不利的话题。</w:t>
      </w:r>
    </w:p>
    <w:p>
      <w:pPr>
        <w:ind w:firstLine="640" w:firstLineChars="200"/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二、我司将遵循公平、公正、公开及诚实信用的原则参加本项目投（议）标，理解并接受贵公司的开标、评标、定标等相关规定。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ascii="仿宋" w:hAnsi="仿宋" w:eastAsia="仿宋" w:cs="仿宋_GB2312"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三、我司按本项目招（议）标公告要求提供的所有法人资料及有关材料均真实有效、合法持有，不存在失效、虚假的情况。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ascii="仿宋" w:hAnsi="仿宋" w:eastAsia="仿宋" w:cs="仿宋_GB2312"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四、严格遵守贵司的有关规定，投（议）标中不围标、不串标、不泄标，以及不排挤其他投标人参与公平竞争。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  <w:r>
        <w:rPr>
          <w:rFonts w:ascii="仿宋" w:hAnsi="仿宋" w:eastAsia="仿宋" w:cs="仿宋_GB2312"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五、在本项目投（议）标有效期之内不撤销投标，中标后在贵司规定的期限内签订合同，全面履行合同义务。</w:t>
      </w:r>
    </w:p>
    <w:p>
      <w:pPr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ascii="仿宋" w:hAnsi="仿宋" w:eastAsia="仿宋" w:cs="仿宋_GB2312"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若违反上述承诺内容，我司自愿接受贵司处理（如：取消投标中标资格、没收投标或履约保证金），并承担由此造成贵司的经济损失赔偿及法律责任。</w:t>
      </w:r>
    </w:p>
    <w:p>
      <w:pPr>
        <w:rPr>
          <w:rFonts w:ascii="仿宋" w:hAnsi="仿宋" w:eastAsia="仿宋" w:cs="Times New Roman"/>
          <w:color w:val="auto"/>
          <w:sz w:val="32"/>
          <w:szCs w:val="32"/>
        </w:rPr>
      </w:pPr>
    </w:p>
    <w:p>
      <w:pPr>
        <w:ind w:firstLine="2880" w:firstLineChars="900"/>
        <w:rPr>
          <w:rFonts w:ascii="仿宋" w:hAnsi="仿宋" w:eastAsia="仿宋" w:cs="Times New Roman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承诺单位（公章）：</w:t>
      </w:r>
    </w:p>
    <w:p>
      <w:pPr>
        <w:ind w:firstLine="2400" w:firstLineChars="750"/>
        <w:rPr>
          <w:rFonts w:ascii="仿宋" w:hAnsi="仿宋" w:eastAsia="仿宋" w:cs="Times New Roman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法定代表人或委托代理人（签名）：</w:t>
      </w:r>
    </w:p>
    <w:p>
      <w:pPr>
        <w:ind w:firstLine="2560" w:firstLineChars="800"/>
        <w:rPr>
          <w:rFonts w:ascii="仿宋" w:hAnsi="仿宋" w:eastAsia="仿宋" w:cs="仿宋_GB2312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 xml:space="preserve">        日期：</w:t>
      </w:r>
      <w:r>
        <w:rPr>
          <w:rFonts w:ascii="仿宋" w:hAnsi="仿宋" w:eastAsia="仿宋" w:cs="仿宋_GB2312"/>
          <w:bCs/>
          <w:color w:val="auto"/>
          <w:sz w:val="32"/>
          <w:szCs w:val="32"/>
        </w:rPr>
        <w:t xml:space="preserve">    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年</w:t>
      </w:r>
      <w:r>
        <w:rPr>
          <w:rFonts w:ascii="仿宋" w:hAnsi="仿宋" w:eastAsia="仿宋" w:cs="仿宋_GB2312"/>
          <w:bCs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月</w:t>
      </w:r>
      <w:r>
        <w:rPr>
          <w:rFonts w:ascii="仿宋" w:hAnsi="仿宋" w:eastAsia="仿宋" w:cs="仿宋_GB2312"/>
          <w:bCs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</w:rPr>
        <w:t>日</w:t>
      </w:r>
    </w:p>
    <w:p>
      <w:pPr>
        <w:jc w:val="center"/>
        <w:rPr>
          <w:rFonts w:ascii="小标宋" w:hAnsi="小标宋" w:eastAsia="小标宋" w:cs="小标宋"/>
          <w:b/>
          <w:color w:val="auto"/>
          <w:sz w:val="44"/>
          <w:szCs w:val="44"/>
        </w:rPr>
      </w:pPr>
      <w:r>
        <w:rPr>
          <w:rFonts w:hint="eastAsia" w:ascii="小标宋" w:hAnsi="小标宋" w:eastAsia="小标宋" w:cs="小标宋"/>
          <w:b/>
          <w:color w:val="auto"/>
          <w:sz w:val="44"/>
          <w:szCs w:val="44"/>
        </w:rPr>
        <w:t>授权委托书</w:t>
      </w:r>
    </w:p>
    <w:p>
      <w:pPr>
        <w:pStyle w:val="2"/>
        <w:spacing w:line="360" w:lineRule="exact"/>
        <w:jc w:val="center"/>
        <w:rPr>
          <w:rFonts w:ascii="宋体" w:hAnsi="宋体" w:cs="宋体"/>
          <w:b/>
          <w:color w:val="auto"/>
          <w:sz w:val="32"/>
          <w:szCs w:val="32"/>
          <w:lang w:val="en-US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委托单位：                                         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法定代表人：                                       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代理人：     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身份证号：              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电话：</w:t>
      </w:r>
    </w:p>
    <w:p>
      <w:pPr>
        <w:spacing w:line="360" w:lineRule="exact"/>
        <w:ind w:firstLine="57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兹授权上述代理人全权代表我公司前往</w:t>
      </w:r>
      <w:r>
        <w:rPr>
          <w:rFonts w:hint="eastAsia" w:ascii="仿宋" w:hAnsi="仿宋" w:eastAsia="仿宋"/>
          <w:color w:val="auto"/>
          <w:sz w:val="32"/>
          <w:szCs w:val="32"/>
        </w:rPr>
        <w:t>江西萍钢实业股份有限公司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处理以下事项，委托权限如下：</w:t>
      </w:r>
    </w:p>
    <w:p>
      <w:pPr>
        <w:spacing w:line="360" w:lineRule="exact"/>
        <w:ind w:firstLine="646" w:firstLineChars="20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参加招（议）标会议，招（议）标文件的领取、递交、更改、撤回、签署及办理投标保证金的缴纳、退回等事项。</w:t>
      </w:r>
    </w:p>
    <w:p>
      <w:pPr>
        <w:spacing w:line="360" w:lineRule="exact"/>
        <w:ind w:firstLine="646" w:firstLineChars="20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合同洽谈及签订合同、技术协议、补充协议和其他附件等；负责签署合同履约过程中的相关函件、会议纪要等文件，收发双方业务往来间的电子邮件、传真、快递等；处理有关检维修、工程施工、质量异议处理等事项；办理货款结算、领取承兑汇票、发票、收据等事项。</w:t>
      </w:r>
    </w:p>
    <w:p>
      <w:pPr>
        <w:spacing w:line="360" w:lineRule="exact"/>
        <w:ind w:firstLine="57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代理人处理上述事项均代表我公司，与我公司的行为具有同等法律效力，我公司将承担上述代理人相关行为的全部法律后果和法律责任。代理人无权转委托。</w:t>
      </w:r>
    </w:p>
    <w:p>
      <w:pPr>
        <w:spacing w:line="360" w:lineRule="exact"/>
        <w:ind w:firstLine="57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本授权委托书有效期限：自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日。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行政章：                           财务专用章：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法定代表人签章：                   合同专用章：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代理人签名：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附：委托单位法定代表人身份证复印件（正反面）</w:t>
      </w:r>
    </w:p>
    <w:p>
      <w:pPr>
        <w:spacing w:line="360" w:lineRule="exact"/>
        <w:ind w:firstLine="646" w:firstLineChars="202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代理人身份证复印件（正反面）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wordWrap w:val="0"/>
        <w:spacing w:line="360" w:lineRule="exact"/>
        <w:ind w:right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  2022年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>
      <w:pPr>
        <w:wordWrap w:val="0"/>
        <w:spacing w:line="360" w:lineRule="exact"/>
        <w:ind w:right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wordWrap w:val="0"/>
        <w:spacing w:line="360" w:lineRule="exact"/>
        <w:ind w:right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wordWrap w:val="0"/>
        <w:spacing w:line="360" w:lineRule="exact"/>
        <w:ind w:right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wordWrap w:val="0"/>
        <w:spacing w:line="360" w:lineRule="exact"/>
        <w:ind w:right="64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40"/>
          <w:szCs w:val="4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0"/>
          <w:szCs w:val="48"/>
        </w:rPr>
        <w:t>江西萍钢实业股份有限公司</w:t>
      </w:r>
      <w:r>
        <w:rPr>
          <w:rFonts w:hint="eastAsia" w:ascii="方正公文小标宋" w:hAnsi="方正公文小标宋" w:eastAsia="方正公文小标宋" w:cs="方正公文小标宋"/>
          <w:b/>
          <w:bCs/>
          <w:sz w:val="40"/>
          <w:szCs w:val="48"/>
          <w:lang w:val="en-US" w:eastAsia="zh-CN"/>
        </w:rPr>
        <w:t>视频监控大屏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bCs/>
          <w:sz w:val="40"/>
          <w:szCs w:val="48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40"/>
          <w:szCs w:val="48"/>
        </w:rPr>
        <w:t>技术要求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一、总体要求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40"/>
        </w:rPr>
        <w:t>本项目为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总包</w:t>
      </w:r>
      <w:r>
        <w:rPr>
          <w:rFonts w:hint="eastAsia" w:ascii="仿宋" w:hAnsi="仿宋" w:eastAsia="仿宋" w:cs="仿宋"/>
          <w:sz w:val="32"/>
          <w:szCs w:val="40"/>
        </w:rPr>
        <w:t>工程，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所</w:t>
      </w:r>
      <w:r>
        <w:rPr>
          <w:rFonts w:hint="eastAsia" w:ascii="仿宋" w:hAnsi="仿宋" w:eastAsia="仿宋" w:cs="仿宋"/>
          <w:sz w:val="32"/>
          <w:szCs w:val="40"/>
        </w:rPr>
        <w:t>涉及的设备、材料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运输、装卸、</w:t>
      </w:r>
      <w:r>
        <w:rPr>
          <w:rFonts w:hint="eastAsia" w:ascii="仿宋" w:hAnsi="仿宋" w:eastAsia="仿宋" w:cs="仿宋"/>
          <w:sz w:val="32"/>
          <w:szCs w:val="40"/>
        </w:rPr>
        <w:t>施工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调测等内容全部</w:t>
      </w:r>
      <w:r>
        <w:rPr>
          <w:rFonts w:hint="eastAsia" w:ascii="仿宋" w:hAnsi="仿宋" w:eastAsia="仿宋" w:cs="仿宋"/>
          <w:sz w:val="32"/>
          <w:szCs w:val="40"/>
        </w:rPr>
        <w:t>由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投标</w:t>
      </w:r>
      <w:r>
        <w:rPr>
          <w:rFonts w:hint="eastAsia" w:ascii="仿宋" w:hAnsi="仿宋" w:eastAsia="仿宋" w:cs="仿宋"/>
          <w:sz w:val="32"/>
          <w:szCs w:val="40"/>
        </w:rPr>
        <w:t>方负责，完工后须确保各子系统高度兼容、运行稳定，满足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招标方</w:t>
      </w:r>
      <w:r>
        <w:rPr>
          <w:rFonts w:hint="eastAsia" w:ascii="仿宋" w:hAnsi="仿宋" w:eastAsia="仿宋" w:cs="仿宋"/>
          <w:sz w:val="32"/>
          <w:szCs w:val="40"/>
        </w:rPr>
        <w:t>使用要求。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本项目使用的所有设备、材料符合最新的国家标准，施工工艺符合国家或行业通用标准。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（三）本项目主要设备、材料所采用的品牌、规格需得到招标方认可。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二、LED显示屏系统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本项目LED显示屏选用</w:t>
      </w:r>
      <w:r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  <w:t>艾比森、海康威视、利亚德、视源、洲明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品牌，不接受以上品牌旗下的子品牌参与投标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LED显示屏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的发送卡、拼接控制器及其他配套设备选用的品牌不限。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（一）LED显示屏主要技术参数</w:t>
      </w:r>
    </w:p>
    <w:tbl>
      <w:tblPr>
        <w:tblStyle w:val="4"/>
        <w:tblW w:w="4574" w:type="pct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2389"/>
        <w:gridCol w:w="3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B4C6E7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</w:rPr>
              <w:t>主要技术参数</w:t>
            </w:r>
          </w:p>
        </w:tc>
        <w:tc>
          <w:tcPr>
            <w:tcW w:w="1532" w:type="pct"/>
            <w:shd w:val="clear" w:color="auto" w:fill="B4C6E7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</w:rPr>
              <w:t>技术指标</w:t>
            </w:r>
          </w:p>
        </w:tc>
        <w:tc>
          <w:tcPr>
            <w:tcW w:w="2062" w:type="pct"/>
            <w:shd w:val="clear" w:color="auto" w:fill="B4C6E7"/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P1.2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室内全彩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像素间距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≤1.27mm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LED显示屏分辨率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≥3840×1620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长约4.8米，高约2米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对比度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≥3000:1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灰度等级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≥12bit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刷新率（Hz）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3840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换帧频率（Hz）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水平视角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≥160°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垂直视角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≥160°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箱体电源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双电源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箱体长宽比例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16:9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箱体材质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压铸铝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405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维护方式</w:t>
            </w:r>
          </w:p>
        </w:tc>
        <w:tc>
          <w:tcPr>
            <w:tcW w:w="153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前后维护</w:t>
            </w:r>
          </w:p>
        </w:tc>
        <w:tc>
          <w:tcPr>
            <w:tcW w:w="2062" w:type="pct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（二）LED显示屏其他技术要求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按需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配套发送卡、接收卡。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2.LED显示屏的箱体支持多方向微调，支持调节亮暗线功能。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3.LED显示屏模组间对接平整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、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无安装缺陷，整体无坏点、无残影、无抖动，画面色彩均匀、一致性好。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4.LED显示屏采用同步控制，支持PC、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移动端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控制方式。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5.LED显示屏性能满足7×24小时连续工作要求。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6.LED显示屏具有亮度、色度逐点校正功能，校正数据可保存在模组。且亮度、色彩可自动调整，保证色彩亮度的一致性。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7.LED显示屏具有智能黑屏节电功能。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8.LED显示屏支持单灯维修，维修后显示效果基本无差异。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9.LED显示屏组装完工后，距显示屏4米外从正面及侧面肉眼观察基本无拼缝。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10.LED显示屏钢结构要求抗锈、抗腐蚀、稳定牢固，平整度高不变形，不存在安全隐患。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11.LED显示屏屏体包边采用黑钛金不锈钢材质，表面磨砂处理不反光，宽度满足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招标方</w:t>
      </w: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要求。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12.LED显示屏符合国家RoHS认证、CCC认证和节能认证。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default" w:ascii="仿宋" w:hAnsi="仿宋" w:eastAsia="仿宋" w:cs="仿宋"/>
          <w:sz w:val="32"/>
          <w:szCs w:val="40"/>
          <w:lang w:val="en-US" w:eastAsia="zh-CN"/>
        </w:rPr>
        <w:t>13.LED显示屏（含模组、箱体、接收卡等）由原厂统一出具合格证和检测报告。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（三）拼接控制器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1.采用插卡式设计，信号输入、输出模块及电源模块要有冗余，确保一个模块出现故障不影响使用。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2.信号输入模块支持2个4K信号输入，输入接口与信号源接口相匹配；信号输出模块性能与LED显示屏相匹配。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（四）媒体播控软件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1.支持多种媒体格式播放，如视频、流媒体、图片、动画、PPT、文本、网页等。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2.支持自定义分辨率的页面无缝拼接、同步显示，可设置播放预案。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3.可在两台LED显示屏控制电脑上安装，带永久授权。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（五）控制电脑</w:t>
      </w:r>
    </w:p>
    <w:tbl>
      <w:tblPr>
        <w:tblStyle w:val="4"/>
        <w:tblW w:w="88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6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shd w:val="clear" w:color="auto" w:fill="B4C6E7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6719" w:type="dxa"/>
            <w:shd w:val="clear" w:color="auto" w:fill="B4C6E7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CPU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i7-11700系列及以上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内存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16GB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硬盘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256GB SSD+1T机械盘或512GB SSD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显卡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GTX1050TI 4GB及以上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显示器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≥23.8英寸，分辨率≥2K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操作系统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Windows10专业版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惠普、联想、戴尔、宏基、华硕、微星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6719" w:type="dxa"/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2台</w:t>
            </w:r>
          </w:p>
        </w:tc>
      </w:tr>
    </w:tbl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（六）音响系统</w:t>
      </w:r>
    </w:p>
    <w:p>
      <w:pPr>
        <w:ind w:firstLine="64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声音清晰饱满，无明显声学缺陷，满足日常声音播放需求。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三、视频监控系统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（一）视频监控软件平台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1.视频监控软件平台必须使用国内安防市场排名前三的厂商产品。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2.软件平台可以与下属企业的海康威视、大华和宇视等平台及设备实现平稳、流畅对接，具备同时对接≥20个视频监控平台、≥10000路监控视频的能力，单个图像支持10人以上同时点播。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3.平台软件支持灵活、精细的用户权限控制，支持手机点播浏览图像。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4.视频监控软件平台带园区安防常用模块授权，其中本地视频监控接入授权不少于500路。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5.配套服务器2台，实现双机热备。每台服务器配置双电源，硬盘配置raid1或raid5整列，系统正常运行时，CPU、内存和网口带宽的使用率不超过50%。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（二）磁带库系统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1.磁带库系统含磁带库主机1套、配套磁带32盘、磁带库清洁带2盘、FC光交换机1台（按需配置）、归档一体机1台（满配硬盘）、 防磁信息安全柜1套（存放磁带300盘以上），整体性能可以满足100路视频长周期存储需要。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2.磁带库主机槽位数量≥32槽（带槽位授权），配置LTO7或LTO8驱动器2个，电源模块2个，磁带库的槽位数量、驱动器数量未来可根据投标方需求无缝扩展。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3.磁带库系统可以与视频监控软件平台无缝对接。</w:t>
      </w:r>
    </w:p>
    <w:p>
      <w:pPr>
        <w:ind w:firstLine="640" w:firstLineChars="200"/>
        <w:jc w:val="both"/>
        <w:rPr>
          <w:rFonts w:hint="default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（三）视频监控改造</w:t>
      </w: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大楼2层地下室和24到28楼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共36个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监控摄像机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进行升级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改造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对档案室10个摄像机进行迁移</w:t>
      </w: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，具体施工按招标方要求进行，主要设备如下：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8"/>
        <w:gridCol w:w="4650"/>
        <w:gridCol w:w="750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shd w:val="clear" w:color="auto" w:fill="C7DAF1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4650" w:type="dxa"/>
            <w:shd w:val="clear" w:color="auto" w:fill="C7DAF1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主要参数</w:t>
            </w:r>
          </w:p>
        </w:tc>
        <w:tc>
          <w:tcPr>
            <w:tcW w:w="750" w:type="dxa"/>
            <w:shd w:val="clear" w:color="auto" w:fill="C7DAF1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724" w:type="dxa"/>
            <w:shd w:val="clear" w:color="auto" w:fill="C7DAF1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全彩筒形网络摄像机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400万像素，支持POE供电，带智能侦测，配套壁装支架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POE交换机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配套POE摄像机使用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按需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硬盘录像机</w:t>
            </w:r>
          </w:p>
        </w:tc>
        <w:tc>
          <w:tcPr>
            <w:tcW w:w="4650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支持raid5，满配硬盘，支持smart功能，总存储容量≥160TB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按需</w:t>
            </w:r>
          </w:p>
        </w:tc>
      </w:tr>
    </w:tbl>
    <w:p>
      <w:pPr>
        <w:ind w:firstLine="640"/>
        <w:jc w:val="both"/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四、机柜及综合布线系统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（一）机柜数量、规格按需配置，采用戴尔、图腾、威图、惠普、IBM品牌，前后网门，线槽、托盘等附件按需配置。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（二）PDU采用大唐保镖、APC、克莱沃品牌，带防雷防浪涌功能，数量和规格按需配置。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（三）网线采用TCL、爱谱华顿、安普（美国）、康普（美国）品牌。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（四）机柜配线所需的桥架、配线架、理线架及其他设备按需配置，要求安装合理规范、标识清楚、走线整齐美观。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（五）交换机及其他设备按需配置。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五、配电及防雷接地系统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（一）配备稳压器1台，LED显示屏系统、视频监控系统相关设备由稳压器供电。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（二）配套智能配电柜，可实现以太网远程控制。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（三）配电柜、机柜及带接地端子的用电设备通过专用接地线缆与大楼接地点连接。</w:t>
      </w:r>
    </w:p>
    <w:p>
      <w:pPr>
        <w:ind w:firstLine="640"/>
        <w:jc w:val="both"/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六、售后服务</w:t>
      </w:r>
    </w:p>
    <w:p>
      <w:pPr>
        <w:wordWrap w:val="0"/>
        <w:spacing w:line="360" w:lineRule="exact"/>
        <w:ind w:right="640"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40"/>
          <w:lang w:val="en-US" w:eastAsia="zh-CN"/>
        </w:rPr>
        <w:t>项目整体要求提供3年免费维保。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A47D4"/>
    <w:rsid w:val="00CF6064"/>
    <w:rsid w:val="0B340220"/>
    <w:rsid w:val="16971E07"/>
    <w:rsid w:val="1BCD6688"/>
    <w:rsid w:val="2210688D"/>
    <w:rsid w:val="2336146F"/>
    <w:rsid w:val="2A9368E4"/>
    <w:rsid w:val="39945F9A"/>
    <w:rsid w:val="473A68C8"/>
    <w:rsid w:val="4C53151B"/>
    <w:rsid w:val="4D7545FE"/>
    <w:rsid w:val="4DDD4177"/>
    <w:rsid w:val="51EA4128"/>
    <w:rsid w:val="64074409"/>
    <w:rsid w:val="660607F6"/>
    <w:rsid w:val="68201BAA"/>
    <w:rsid w:val="72D475F7"/>
    <w:rsid w:val="79E93803"/>
    <w:rsid w:val="7D7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spacing w:line="240" w:lineRule="auto"/>
      <w:jc w:val="left"/>
    </w:pPr>
    <w:rPr>
      <w:rFonts w:ascii="Courier New" w:hAnsi="Courier New" w:eastAsia="PMingLiUfalt" w:cs="Courier New"/>
      <w:kern w:val="0"/>
      <w:sz w:val="20"/>
      <w:szCs w:val="20"/>
      <w:lang w:val="zh-CN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2022-04-19T08:04:00Z</dcterms:created>
  <dc:creator>Lenovo</dc:creator>
  <cp:lastModifiedBy>何运综</cp:lastModifiedBy>
  <dcterms:modified xsi:type="dcterms:W3CDTF">2022-04-22T06:05:29Z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447F2EC524D0492A924626829E29A041</vt:lpwstr>
  </property>
  <property fmtid="{D5CDD505-2E9C-101B-9397-08002B2CF9AE}" pid="4" name="commondata">
    <vt:lpwstr>eyJoZGlkIjoiZjVhNGJiMWVmZTg4ZjFhYWZhYWFiMzBkODkwYWRkZmUifQ==</vt:lpwstr>
  </property>
</Properties>
</file>